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DFE" w:rsidRDefault="004F4DFE">
      <w:pPr>
        <w:spacing w:line="360" w:lineRule="auto"/>
        <w:rPr>
          <w:rFonts w:ascii="Times New Roman" w:hAnsi="Times New Roman" w:cs="Times New Roman"/>
          <w:b/>
          <w:bCs/>
          <w:sz w:val="24"/>
          <w:szCs w:val="24"/>
        </w:rPr>
      </w:pPr>
    </w:p>
    <w:p w:rsidR="004F4DFE" w:rsidRDefault="004F4DFE">
      <w:pPr>
        <w:spacing w:line="360" w:lineRule="auto"/>
        <w:rPr>
          <w:rFonts w:ascii="Times New Roman" w:hAnsi="Times New Roman" w:cs="Times New Roman"/>
          <w:b/>
          <w:bCs/>
          <w:sz w:val="24"/>
          <w:szCs w:val="24"/>
        </w:rPr>
      </w:pPr>
    </w:p>
    <w:p w:rsidR="004F4DFE" w:rsidRDefault="00D15E54">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t>Central Department of Education</w:t>
      </w:r>
    </w:p>
    <w:p w:rsidR="004F4DFE" w:rsidRDefault="00D15E54">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t>Far Western University Central Campus</w:t>
      </w:r>
    </w:p>
    <w:p w:rsidR="004F4DFE" w:rsidRDefault="004F4DFE">
      <w:pPr>
        <w:spacing w:line="360" w:lineRule="auto"/>
        <w:jc w:val="center"/>
        <w:rPr>
          <w:rFonts w:ascii="Times New Roman" w:hAnsi="Times New Roman" w:cs="Times New Roman"/>
          <w:b/>
          <w:bCs/>
          <w:sz w:val="48"/>
          <w:szCs w:val="48"/>
        </w:rPr>
      </w:pPr>
    </w:p>
    <w:p w:rsidR="004F4DFE" w:rsidRDefault="00D15E54">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Mahendranagar, Kanchanpur</w:t>
      </w:r>
    </w:p>
    <w:p w:rsidR="004F4DFE" w:rsidRDefault="004F4DFE">
      <w:pPr>
        <w:spacing w:line="360" w:lineRule="auto"/>
        <w:jc w:val="center"/>
        <w:rPr>
          <w:rFonts w:ascii="Times New Roman" w:hAnsi="Times New Roman" w:cs="Times New Roman"/>
          <w:b/>
          <w:bCs/>
          <w:sz w:val="40"/>
          <w:szCs w:val="40"/>
        </w:rPr>
      </w:pPr>
    </w:p>
    <w:p w:rsidR="004F4DFE" w:rsidRDefault="004F4DFE">
      <w:pPr>
        <w:spacing w:line="360" w:lineRule="auto"/>
        <w:jc w:val="center"/>
        <w:rPr>
          <w:rFonts w:ascii="Times New Roman" w:hAnsi="Times New Roman" w:cs="Times New Roman"/>
          <w:b/>
          <w:bCs/>
          <w:sz w:val="40"/>
          <w:szCs w:val="40"/>
        </w:rPr>
      </w:pPr>
    </w:p>
    <w:p w:rsidR="004F4DFE" w:rsidRDefault="004F4DFE">
      <w:pPr>
        <w:spacing w:line="360" w:lineRule="auto"/>
        <w:jc w:val="center"/>
        <w:rPr>
          <w:rFonts w:ascii="Times New Roman" w:hAnsi="Times New Roman" w:cs="Times New Roman"/>
          <w:b/>
          <w:bCs/>
          <w:sz w:val="40"/>
          <w:szCs w:val="40"/>
        </w:rPr>
      </w:pPr>
    </w:p>
    <w:p w:rsidR="004F4DFE" w:rsidRDefault="00D15E54">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Established: 2012</w:t>
      </w:r>
    </w:p>
    <w:p w:rsidR="004F4DFE" w:rsidRDefault="00D15E54">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Fiscal Year: 2079/080</w:t>
      </w:r>
    </w:p>
    <w:p w:rsidR="004F4DFE" w:rsidRDefault="00D15E54">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Progress Report</w:t>
      </w:r>
    </w:p>
    <w:p w:rsidR="004F4DFE" w:rsidRDefault="004F4DFE">
      <w:pPr>
        <w:spacing w:line="360" w:lineRule="auto"/>
        <w:rPr>
          <w:rFonts w:ascii="Times New Roman" w:hAnsi="Times New Roman" w:cs="Times New Roman"/>
          <w:b/>
          <w:bCs/>
          <w:sz w:val="24"/>
          <w:szCs w:val="24"/>
        </w:rPr>
      </w:pPr>
    </w:p>
    <w:p w:rsidR="004F4DFE" w:rsidRDefault="004F4DFE">
      <w:pPr>
        <w:spacing w:line="360" w:lineRule="auto"/>
        <w:rPr>
          <w:rFonts w:ascii="Times New Roman" w:hAnsi="Times New Roman" w:cs="Times New Roman"/>
          <w:b/>
          <w:bCs/>
          <w:sz w:val="24"/>
          <w:szCs w:val="24"/>
        </w:rPr>
      </w:pPr>
    </w:p>
    <w:p w:rsidR="004F4DFE" w:rsidRDefault="004F4DFE">
      <w:pPr>
        <w:spacing w:line="360" w:lineRule="auto"/>
        <w:rPr>
          <w:rFonts w:ascii="Times New Roman" w:hAnsi="Times New Roman" w:cs="Times New Roman"/>
          <w:b/>
          <w:bCs/>
          <w:sz w:val="24"/>
          <w:szCs w:val="24"/>
        </w:rPr>
      </w:pPr>
    </w:p>
    <w:p w:rsidR="004F4DFE" w:rsidRDefault="004F4DFE">
      <w:pPr>
        <w:spacing w:line="360" w:lineRule="auto"/>
        <w:rPr>
          <w:rFonts w:ascii="Times New Roman" w:hAnsi="Times New Roman" w:cs="Times New Roman"/>
          <w:b/>
          <w:bCs/>
          <w:sz w:val="24"/>
          <w:szCs w:val="24"/>
        </w:rPr>
      </w:pPr>
    </w:p>
    <w:p w:rsidR="004F4DFE" w:rsidRDefault="004F4DFE">
      <w:pPr>
        <w:spacing w:line="360" w:lineRule="auto"/>
        <w:rPr>
          <w:rFonts w:ascii="Times New Roman" w:hAnsi="Times New Roman" w:cs="Times New Roman"/>
          <w:b/>
          <w:bCs/>
          <w:sz w:val="24"/>
          <w:szCs w:val="24"/>
        </w:rPr>
      </w:pPr>
    </w:p>
    <w:p w:rsidR="004F4DFE" w:rsidRDefault="00D15E54">
      <w:pPr>
        <w:spacing w:line="360" w:lineRule="auto"/>
        <w:rPr>
          <w:rFonts w:ascii="Times New Roman" w:hAnsi="Times New Roman" w:cs="Times New Roman"/>
          <w:b/>
          <w:bCs/>
          <w:sz w:val="24"/>
          <w:szCs w:val="24"/>
        </w:rPr>
      </w:pPr>
      <w:r>
        <w:rPr>
          <w:rFonts w:ascii="Times New Roman" w:hAnsi="Times New Roman" w:cs="Times New Roman"/>
          <w:b/>
          <w:bCs/>
          <w:sz w:val="24"/>
          <w:szCs w:val="24"/>
        </w:rPr>
        <w:t>Central Department of Education and Introduction</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The Central Department of Education began operating in 2012 AD after the Far Western University launched its academic programs. It is one of the main departments in the only central campus of the university located at the heart of Kanchanpur, Mahendranagar</w:t>
      </w:r>
      <w:r>
        <w:rPr>
          <w:rFonts w:ascii="Times New Roman" w:hAnsi="Times New Roman" w:cs="Times New Roman"/>
          <w:sz w:val="24"/>
          <w:szCs w:val="24"/>
        </w:rPr>
        <w:t xml:space="preserve">.  </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The Central Departments of Education emphasizes the fact that the overall development and progress of the region can be possible only through skilled teachers, who are confident, highly efficient and knowledgeable, creative, innovative, and who have po</w:t>
      </w:r>
      <w:r>
        <w:rPr>
          <w:rFonts w:ascii="Times New Roman" w:hAnsi="Times New Roman" w:cs="Times New Roman"/>
          <w:sz w:val="24"/>
          <w:szCs w:val="24"/>
        </w:rPr>
        <w:t xml:space="preserve">sitive attitude towards  teaching profession that can attract the learning environment of the classroom. It aims to equip teachers, academic leaders, and researchers with the knowledge, skills, abilities and values needed for today's classroom and beyond, </w:t>
      </w:r>
      <w:r>
        <w:rPr>
          <w:rFonts w:ascii="Times New Roman" w:hAnsi="Times New Roman" w:cs="Times New Roman"/>
          <w:sz w:val="24"/>
          <w:szCs w:val="24"/>
        </w:rPr>
        <w:t>while helping learners to excel in the profession of their choice.</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The Central Department of Education has a dynamic and creative team of faculty members. They are active in teaching as well as in research. Our experienced faculty members inspire the stude</w:t>
      </w:r>
      <w:r>
        <w:rPr>
          <w:rFonts w:ascii="Times New Roman" w:hAnsi="Times New Roman" w:cs="Times New Roman"/>
          <w:sz w:val="24"/>
          <w:szCs w:val="24"/>
        </w:rPr>
        <w:t>nts to excel in every sphere of human activity in order to overcome the challenges of present world. The Central Department of Education focuses on activities that foster relationships between students and teachers and create a collaborative learning envir</w:t>
      </w:r>
      <w:r>
        <w:rPr>
          <w:rFonts w:ascii="Times New Roman" w:hAnsi="Times New Roman" w:cs="Times New Roman"/>
          <w:sz w:val="24"/>
          <w:szCs w:val="24"/>
        </w:rPr>
        <w:t>onment that fosters new ideas and concepts.</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The central department of Education offers undergraduate (B.Ed.), and graduate (M.Ed.) programs at its premises. All the programs are run in semester system to bring the present day world education with the innov</w:t>
      </w:r>
      <w:r>
        <w:rPr>
          <w:rFonts w:ascii="Times New Roman" w:hAnsi="Times New Roman" w:cs="Times New Roman"/>
          <w:sz w:val="24"/>
          <w:szCs w:val="24"/>
        </w:rPr>
        <w:t xml:space="preserve">ation and cooperation in the teaching and learning environment.  Undergraduate (B.Ed.) level programs are run in five areas like: English Education, Nepali Education, Mathematics Education, Health Education, and Computer Science and Information Technology </w:t>
      </w:r>
      <w:r>
        <w:rPr>
          <w:rFonts w:ascii="Times New Roman" w:hAnsi="Times New Roman" w:cs="Times New Roman"/>
          <w:sz w:val="24"/>
          <w:szCs w:val="24"/>
        </w:rPr>
        <w:t>(CSIT) and Graduate (M.Ed.) level programs are run in six areas like: English Education (TESOL), Nepali Education, Mathematics Education, Health Education, Curriculum, Planning and Leadership (CPL) and Special Need Education (SNE). The departments  plans t</w:t>
      </w:r>
      <w:r>
        <w:rPr>
          <w:rFonts w:ascii="Times New Roman" w:hAnsi="Times New Roman" w:cs="Times New Roman"/>
          <w:sz w:val="24"/>
          <w:szCs w:val="24"/>
        </w:rPr>
        <w:t xml:space="preserve">o add some more subjects at undergraduate and graduate levels in near future and the planning is under consideration in the areas like ECD (Early Childhood Development) and SNE at undergraduate level. </w:t>
      </w:r>
    </w:p>
    <w:tbl>
      <w:tblPr>
        <w:tblStyle w:val="TableGrid"/>
        <w:tblW w:w="0" w:type="auto"/>
        <w:tblLook w:val="04A0" w:firstRow="1" w:lastRow="0" w:firstColumn="1" w:lastColumn="0" w:noHBand="0" w:noVBand="1"/>
      </w:tblPr>
      <w:tblGrid>
        <w:gridCol w:w="1998"/>
        <w:gridCol w:w="1710"/>
        <w:gridCol w:w="5868"/>
      </w:tblGrid>
      <w:tr w:rsidR="004F4DFE">
        <w:tc>
          <w:tcPr>
            <w:tcW w:w="9576" w:type="dxa"/>
            <w:gridSpan w:val="3"/>
          </w:tcPr>
          <w:p w:rsidR="004F4DFE" w:rsidRDefault="00D15E54">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Academic Programs at the Central Department of Educati</w:t>
            </w:r>
            <w:r>
              <w:rPr>
                <w:rFonts w:ascii="Times New Roman" w:hAnsi="Times New Roman" w:cs="Times New Roman"/>
                <w:b/>
                <w:bCs/>
                <w:sz w:val="24"/>
                <w:szCs w:val="24"/>
              </w:rPr>
              <w:t>on</w:t>
            </w:r>
          </w:p>
        </w:tc>
      </w:tr>
      <w:tr w:rsidR="004F4DFE">
        <w:tc>
          <w:tcPr>
            <w:tcW w:w="1998" w:type="dxa"/>
          </w:tcPr>
          <w:p w:rsidR="004F4DFE" w:rsidRDefault="00D15E54">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Level </w:t>
            </w:r>
          </w:p>
        </w:tc>
        <w:tc>
          <w:tcPr>
            <w:tcW w:w="1710" w:type="dxa"/>
          </w:tcPr>
          <w:p w:rsidR="004F4DFE" w:rsidRDefault="00D15E54">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Programs </w:t>
            </w:r>
          </w:p>
        </w:tc>
        <w:tc>
          <w:tcPr>
            <w:tcW w:w="5868" w:type="dxa"/>
          </w:tcPr>
          <w:p w:rsidR="004F4DFE" w:rsidRDefault="00D15E54">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Areas/subjects</w:t>
            </w:r>
          </w:p>
        </w:tc>
      </w:tr>
      <w:tr w:rsidR="004F4DFE">
        <w:tc>
          <w:tcPr>
            <w:tcW w:w="1998" w:type="dxa"/>
          </w:tcPr>
          <w:p w:rsidR="004F4DFE" w:rsidRDefault="00D15E54">
            <w:pPr>
              <w:spacing w:after="0" w:line="360" w:lineRule="auto"/>
              <w:rPr>
                <w:rFonts w:ascii="Times New Roman" w:hAnsi="Times New Roman" w:cs="Times New Roman"/>
                <w:sz w:val="24"/>
                <w:szCs w:val="24"/>
              </w:rPr>
            </w:pPr>
            <w:r>
              <w:rPr>
                <w:rFonts w:ascii="Times New Roman" w:hAnsi="Times New Roman" w:cs="Times New Roman"/>
                <w:sz w:val="24"/>
                <w:szCs w:val="24"/>
              </w:rPr>
              <w:t>Undergraduate</w:t>
            </w:r>
          </w:p>
        </w:tc>
        <w:tc>
          <w:tcPr>
            <w:tcW w:w="1710" w:type="dxa"/>
          </w:tcPr>
          <w:p w:rsidR="004F4DFE" w:rsidRDefault="00D15E54">
            <w:pPr>
              <w:spacing w:after="0" w:line="360" w:lineRule="auto"/>
              <w:rPr>
                <w:rFonts w:ascii="Times New Roman" w:hAnsi="Times New Roman" w:cs="Times New Roman"/>
                <w:sz w:val="24"/>
                <w:szCs w:val="24"/>
              </w:rPr>
            </w:pPr>
            <w:r>
              <w:rPr>
                <w:rFonts w:ascii="Times New Roman" w:hAnsi="Times New Roman" w:cs="Times New Roman"/>
                <w:sz w:val="24"/>
                <w:szCs w:val="24"/>
              </w:rPr>
              <w:t>B.Ed.</w:t>
            </w:r>
          </w:p>
        </w:tc>
        <w:tc>
          <w:tcPr>
            <w:tcW w:w="5868" w:type="dxa"/>
          </w:tcPr>
          <w:p w:rsidR="004F4DFE" w:rsidRDefault="00D15E54">
            <w:pPr>
              <w:spacing w:after="0" w:line="360" w:lineRule="auto"/>
              <w:rPr>
                <w:rFonts w:ascii="Times New Roman" w:hAnsi="Times New Roman" w:cs="Times New Roman"/>
                <w:sz w:val="24"/>
                <w:szCs w:val="24"/>
              </w:rPr>
            </w:pPr>
            <w:r>
              <w:rPr>
                <w:rFonts w:ascii="Times New Roman" w:hAnsi="Times New Roman" w:cs="Times New Roman"/>
                <w:sz w:val="24"/>
                <w:szCs w:val="24"/>
              </w:rPr>
              <w:t>English, Nepali, Mathematics,  Health and Physical</w:t>
            </w:r>
          </w:p>
          <w:p w:rsidR="004F4DFE" w:rsidRDefault="00D15E54">
            <w:pPr>
              <w:spacing w:after="0" w:line="360" w:lineRule="auto"/>
              <w:rPr>
                <w:rFonts w:ascii="Times New Roman" w:hAnsi="Times New Roman" w:cs="Times New Roman"/>
                <w:sz w:val="24"/>
                <w:szCs w:val="24"/>
              </w:rPr>
            </w:pPr>
            <w:r>
              <w:rPr>
                <w:rFonts w:ascii="Times New Roman" w:hAnsi="Times New Roman" w:cs="Times New Roman"/>
                <w:sz w:val="24"/>
                <w:szCs w:val="24"/>
              </w:rPr>
              <w:t>Science, Computer Science and Information Technology(CSIT)</w:t>
            </w:r>
          </w:p>
        </w:tc>
      </w:tr>
      <w:tr w:rsidR="004F4DFE">
        <w:tc>
          <w:tcPr>
            <w:tcW w:w="1998" w:type="dxa"/>
          </w:tcPr>
          <w:p w:rsidR="004F4DFE" w:rsidRDefault="00D15E54">
            <w:pPr>
              <w:spacing w:after="0" w:line="360" w:lineRule="auto"/>
              <w:rPr>
                <w:rFonts w:ascii="Times New Roman" w:hAnsi="Times New Roman" w:cs="Times New Roman"/>
                <w:sz w:val="24"/>
                <w:szCs w:val="24"/>
              </w:rPr>
            </w:pPr>
            <w:r>
              <w:rPr>
                <w:rFonts w:ascii="Times New Roman" w:hAnsi="Times New Roman" w:cs="Times New Roman"/>
                <w:sz w:val="24"/>
                <w:szCs w:val="24"/>
              </w:rPr>
              <w:t>Graduate</w:t>
            </w:r>
          </w:p>
        </w:tc>
        <w:tc>
          <w:tcPr>
            <w:tcW w:w="1710" w:type="dxa"/>
          </w:tcPr>
          <w:p w:rsidR="004F4DFE" w:rsidRDefault="00D15E54">
            <w:pPr>
              <w:spacing w:after="0" w:line="360" w:lineRule="auto"/>
              <w:rPr>
                <w:rFonts w:ascii="Times New Roman" w:hAnsi="Times New Roman" w:cs="Times New Roman"/>
                <w:sz w:val="24"/>
                <w:szCs w:val="24"/>
              </w:rPr>
            </w:pPr>
            <w:r>
              <w:rPr>
                <w:rFonts w:ascii="Times New Roman" w:hAnsi="Times New Roman" w:cs="Times New Roman"/>
                <w:sz w:val="24"/>
                <w:szCs w:val="24"/>
              </w:rPr>
              <w:t>M.Ed.</w:t>
            </w:r>
          </w:p>
        </w:tc>
        <w:tc>
          <w:tcPr>
            <w:tcW w:w="5868" w:type="dxa"/>
          </w:tcPr>
          <w:p w:rsidR="004F4DFE" w:rsidRDefault="00D15E54">
            <w:pPr>
              <w:spacing w:after="0" w:line="360" w:lineRule="auto"/>
              <w:rPr>
                <w:rFonts w:ascii="Times New Roman" w:hAnsi="Times New Roman" w:cs="Times New Roman"/>
                <w:sz w:val="24"/>
                <w:szCs w:val="24"/>
              </w:rPr>
            </w:pPr>
            <w:r>
              <w:rPr>
                <w:rFonts w:ascii="Times New Roman" w:hAnsi="Times New Roman" w:cs="Times New Roman"/>
                <w:sz w:val="24"/>
                <w:szCs w:val="24"/>
              </w:rPr>
              <w:t>TESOL, Nepali, Curriculum, Planning and Leadership,</w:t>
            </w:r>
          </w:p>
          <w:p w:rsidR="004F4DFE" w:rsidRDefault="00D15E5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Mathematics, Health </w:t>
            </w:r>
            <w:r>
              <w:rPr>
                <w:rFonts w:ascii="Times New Roman" w:hAnsi="Times New Roman" w:cs="Times New Roman"/>
                <w:sz w:val="24"/>
                <w:szCs w:val="24"/>
              </w:rPr>
              <w:t>and Physical, and Special Need Education</w:t>
            </w:r>
          </w:p>
        </w:tc>
      </w:tr>
    </w:tbl>
    <w:p w:rsidR="004F4DFE" w:rsidRDefault="004F4DFE">
      <w:pPr>
        <w:spacing w:line="360" w:lineRule="auto"/>
        <w:rPr>
          <w:rFonts w:ascii="Times New Roman" w:hAnsi="Times New Roman" w:cs="Times New Roman"/>
          <w:sz w:val="24"/>
          <w:szCs w:val="24"/>
        </w:rPr>
      </w:pPr>
    </w:p>
    <w:p w:rsidR="004F4DFE" w:rsidRDefault="00D15E54">
      <w:pPr>
        <w:spacing w:line="360" w:lineRule="auto"/>
        <w:rPr>
          <w:rFonts w:ascii="Times New Roman" w:hAnsi="Times New Roman" w:cs="Times New Roman"/>
          <w:b/>
          <w:bCs/>
          <w:sz w:val="24"/>
          <w:szCs w:val="24"/>
        </w:rPr>
      </w:pPr>
      <w:r>
        <w:rPr>
          <w:rFonts w:ascii="Times New Roman" w:hAnsi="Times New Roman" w:cs="Times New Roman"/>
          <w:b/>
          <w:bCs/>
          <w:sz w:val="24"/>
          <w:szCs w:val="24"/>
        </w:rPr>
        <w:t>Present status of the students:</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The central department of Education holds total 1153 students in total among them there are 1050 students are studying in undergraduate level and 103 students are in graduate level.</w:t>
      </w:r>
      <w:r>
        <w:rPr>
          <w:rFonts w:ascii="Times New Roman" w:hAnsi="Times New Roman" w:cs="Times New Roman"/>
          <w:sz w:val="24"/>
          <w:szCs w:val="24"/>
        </w:rPr>
        <w:t xml:space="preserve"> If we analyze the data subject wise, there are 192 students in total studying major English among them in graduate level there are 29 and in undergraduate level there are 163 students. Likewise, in Nepali education there are 36 students in graduate level </w:t>
      </w:r>
      <w:r>
        <w:rPr>
          <w:rFonts w:ascii="Times New Roman" w:hAnsi="Times New Roman" w:cs="Times New Roman"/>
          <w:sz w:val="24"/>
          <w:szCs w:val="24"/>
        </w:rPr>
        <w:t>and 243 students in undergraduate level altogether there are 279 students studying Nepali education. In the same way, there are 406 students studying Health Education in undergraduate level and 13 students in graduate level. The total number of studying he</w:t>
      </w:r>
      <w:r>
        <w:rPr>
          <w:rFonts w:ascii="Times New Roman" w:hAnsi="Times New Roman" w:cs="Times New Roman"/>
          <w:sz w:val="24"/>
          <w:szCs w:val="24"/>
        </w:rPr>
        <w:t xml:space="preserve">alth education is 419. Similarly, there are total 60 students majoring Mathematics among them 46 are in undergraduate level and 14 in graduate level. Similarly, there are total 11 students studying Special Need Education in graduate level and 192 students </w:t>
      </w:r>
      <w:r>
        <w:rPr>
          <w:rFonts w:ascii="Times New Roman" w:hAnsi="Times New Roman" w:cs="Times New Roman"/>
          <w:sz w:val="24"/>
          <w:szCs w:val="24"/>
        </w:rPr>
        <w:t xml:space="preserve">studying CSIT in undergraduate level. </w:t>
      </w:r>
    </w:p>
    <w:p w:rsidR="004F4DFE" w:rsidRDefault="00D15E54">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572000" cy="27432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F4DFE" w:rsidRDefault="004F4DFE">
      <w:pPr>
        <w:spacing w:line="360" w:lineRule="auto"/>
        <w:rPr>
          <w:rFonts w:ascii="Times New Roman" w:hAnsi="Times New Roman" w:cs="Times New Roman"/>
          <w:sz w:val="24"/>
          <w:szCs w:val="24"/>
        </w:rPr>
      </w:pPr>
    </w:p>
    <w:p w:rsidR="004F4DFE" w:rsidRDefault="00D15E54">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F4DFE" w:rsidRDefault="00D15E54">
      <w:pPr>
        <w:spacing w:line="360" w:lineRule="auto"/>
        <w:rPr>
          <w:rFonts w:ascii="Times New Roman" w:hAnsi="Times New Roman" w:cs="Times New Roman"/>
          <w:b/>
          <w:bCs/>
          <w:sz w:val="24"/>
          <w:szCs w:val="24"/>
        </w:rPr>
      </w:pPr>
      <w:r>
        <w:rPr>
          <w:rFonts w:ascii="Times New Roman" w:hAnsi="Times New Roman" w:cs="Times New Roman"/>
          <w:b/>
          <w:bCs/>
          <w:sz w:val="24"/>
          <w:szCs w:val="24"/>
        </w:rPr>
        <w:t>Faculties and Staff (Teaching Staff and non-teaching staff)</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total number of faculties in the department is 26. Out of them 2 faculties holds PhD degrees and 3 of them holds MPhil. </w:t>
      </w:r>
      <w:proofErr w:type="spellStart"/>
      <w:r>
        <w:rPr>
          <w:rFonts w:ascii="Times New Roman" w:hAnsi="Times New Roman" w:cs="Times New Roman"/>
          <w:sz w:val="24"/>
          <w:szCs w:val="24"/>
        </w:rPr>
        <w:t>degree.and</w:t>
      </w:r>
      <w:proofErr w:type="spellEnd"/>
      <w:r>
        <w:rPr>
          <w:rFonts w:ascii="Times New Roman" w:hAnsi="Times New Roman" w:cs="Times New Roman"/>
          <w:sz w:val="24"/>
          <w:szCs w:val="24"/>
        </w:rPr>
        <w:t xml:space="preserve"> rest of them </w:t>
      </w:r>
      <w:r>
        <w:rPr>
          <w:rFonts w:ascii="Times New Roman" w:hAnsi="Times New Roman" w:cs="Times New Roman"/>
          <w:sz w:val="24"/>
          <w:szCs w:val="24"/>
        </w:rPr>
        <w:t xml:space="preserve">holds Masters at least in one subject. There are 6 assistant professors in the English Education department and 1 of them holds MPhil degree and rest of them are pursuing their PhD degree and holds </w:t>
      </w:r>
      <w:proofErr w:type="spellStart"/>
      <w:r>
        <w:rPr>
          <w:rFonts w:ascii="Times New Roman" w:hAnsi="Times New Roman" w:cs="Times New Roman"/>
          <w:sz w:val="24"/>
          <w:szCs w:val="24"/>
        </w:rPr>
        <w:t>masters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degree.Similarly</w:t>
      </w:r>
      <w:proofErr w:type="spellEnd"/>
      <w:r>
        <w:rPr>
          <w:rFonts w:ascii="Times New Roman" w:hAnsi="Times New Roman" w:cs="Times New Roman"/>
          <w:sz w:val="24"/>
          <w:szCs w:val="24"/>
        </w:rPr>
        <w:t>, in Nepali Education department t</w:t>
      </w:r>
      <w:r>
        <w:rPr>
          <w:rFonts w:ascii="Times New Roman" w:hAnsi="Times New Roman" w:cs="Times New Roman"/>
          <w:sz w:val="24"/>
          <w:szCs w:val="24"/>
        </w:rPr>
        <w:t xml:space="preserve">here are 3 assistant professors. Out of them 1 holds MPhil degree and rest of them holds </w:t>
      </w:r>
      <w:proofErr w:type="spellStart"/>
      <w:r>
        <w:rPr>
          <w:rFonts w:ascii="Times New Roman" w:hAnsi="Times New Roman" w:cs="Times New Roman"/>
          <w:sz w:val="24"/>
          <w:szCs w:val="24"/>
        </w:rPr>
        <w:t>masters</w:t>
      </w:r>
      <w:proofErr w:type="spellEnd"/>
      <w:r>
        <w:rPr>
          <w:rFonts w:ascii="Times New Roman" w:hAnsi="Times New Roman" w:cs="Times New Roman"/>
          <w:sz w:val="24"/>
          <w:szCs w:val="24"/>
        </w:rPr>
        <w:t xml:space="preserve"> degree and pursuing the PhD degree. Likewise, in Health Education </w:t>
      </w:r>
      <w:r>
        <w:rPr>
          <w:rFonts w:ascii="Times New Roman" w:hAnsi="Times New Roman" w:cs="Times New Roman"/>
          <w:sz w:val="24"/>
          <w:szCs w:val="24"/>
        </w:rPr>
        <w:lastRenderedPageBreak/>
        <w:t xml:space="preserve">department there are 3 assistant professors </w:t>
      </w:r>
      <w:proofErr w:type="spellStart"/>
      <w:r>
        <w:rPr>
          <w:rFonts w:ascii="Times New Roman" w:hAnsi="Times New Roman" w:cs="Times New Roman"/>
          <w:sz w:val="24"/>
          <w:szCs w:val="24"/>
        </w:rPr>
        <w:t>working.In</w:t>
      </w:r>
      <w:proofErr w:type="spellEnd"/>
      <w:r>
        <w:rPr>
          <w:rFonts w:ascii="Times New Roman" w:hAnsi="Times New Roman" w:cs="Times New Roman"/>
          <w:sz w:val="24"/>
          <w:szCs w:val="24"/>
        </w:rPr>
        <w:t xml:space="preserve"> Math education department there is 1 p</w:t>
      </w:r>
      <w:r>
        <w:rPr>
          <w:rFonts w:ascii="Times New Roman" w:hAnsi="Times New Roman" w:cs="Times New Roman"/>
          <w:sz w:val="24"/>
          <w:szCs w:val="24"/>
        </w:rPr>
        <w:t xml:space="preserve">rofessor and 2 assistant professors working as a full time faculty in the department.  In Computer education department we have 2 assistant professors and full time faculty and 1 in a contract </w:t>
      </w:r>
      <w:proofErr w:type="spellStart"/>
      <w:r>
        <w:rPr>
          <w:rFonts w:ascii="Times New Roman" w:hAnsi="Times New Roman" w:cs="Times New Roman"/>
          <w:sz w:val="24"/>
          <w:szCs w:val="24"/>
        </w:rPr>
        <w:t>basis.In</w:t>
      </w:r>
      <w:proofErr w:type="spellEnd"/>
      <w:r>
        <w:rPr>
          <w:rFonts w:ascii="Times New Roman" w:hAnsi="Times New Roman" w:cs="Times New Roman"/>
          <w:sz w:val="24"/>
          <w:szCs w:val="24"/>
        </w:rPr>
        <w:t xml:space="preserve"> CPL department we have 1 PhD assistant professor and 1</w:t>
      </w:r>
      <w:r>
        <w:rPr>
          <w:rFonts w:ascii="Times New Roman" w:hAnsi="Times New Roman" w:cs="Times New Roman"/>
          <w:sz w:val="24"/>
          <w:szCs w:val="24"/>
        </w:rPr>
        <w:t xml:space="preserve"> MPhil degree holder assistant professor and 4 other assistant professors.  Similarly we have 1 PhD holder assistant professor in the department of Special Needs Education. There is 1 assistant professor in population education faculty.</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 xml:space="preserve">Similarly, the </w:t>
      </w:r>
      <w:proofErr w:type="spellStart"/>
      <w:r>
        <w:rPr>
          <w:rFonts w:ascii="Times New Roman" w:hAnsi="Times New Roman" w:cs="Times New Roman"/>
          <w:sz w:val="24"/>
          <w:szCs w:val="24"/>
        </w:rPr>
        <w:t>depa</w:t>
      </w:r>
      <w:r>
        <w:rPr>
          <w:rFonts w:ascii="Times New Roman" w:hAnsi="Times New Roman" w:cs="Times New Roman"/>
          <w:sz w:val="24"/>
          <w:szCs w:val="24"/>
        </w:rPr>
        <w:t>rtmnt</w:t>
      </w:r>
      <w:proofErr w:type="spellEnd"/>
      <w:r>
        <w:rPr>
          <w:rFonts w:ascii="Times New Roman" w:hAnsi="Times New Roman" w:cs="Times New Roman"/>
          <w:sz w:val="24"/>
          <w:szCs w:val="24"/>
        </w:rPr>
        <w:t xml:space="preserve"> holds 2 assistant administrators full time non-teaching staff. Likewise, 2 head assistants and 2 office assistants are working at the department. </w:t>
      </w:r>
    </w:p>
    <w:p w:rsidR="004F4DFE" w:rsidRDefault="00D15E54">
      <w:pPr>
        <w:spacing w:line="360" w:lineRule="auto"/>
        <w:rPr>
          <w:rFonts w:ascii="Times New Roman" w:hAnsi="Times New Roman" w:cs="Times New Roman"/>
          <w:sz w:val="24"/>
          <w:szCs w:val="24"/>
        </w:rPr>
      </w:pPr>
      <w:r>
        <w:rPr>
          <w:rFonts w:ascii="Times New Roman" w:hAnsi="Times New Roman" w:cs="Times New Roman"/>
          <w:b/>
          <w:bCs/>
          <w:sz w:val="24"/>
          <w:szCs w:val="24"/>
        </w:rPr>
        <w:t>Enrollment of the students in three years</w:t>
      </w:r>
      <w:r>
        <w:rPr>
          <w:rFonts w:ascii="Times New Roman" w:hAnsi="Times New Roman" w:cs="Times New Roman"/>
          <w:sz w:val="24"/>
          <w:szCs w:val="24"/>
        </w:rPr>
        <w:t xml:space="preserve"> </w:t>
      </w:r>
    </w:p>
    <w:tbl>
      <w:tblPr>
        <w:tblStyle w:val="TableGrid"/>
        <w:tblpPr w:leftFromText="180" w:rightFromText="180" w:vertAnchor="text" w:horzAnchor="page" w:tblpX="2762" w:tblpY="29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7"/>
        <w:gridCol w:w="710"/>
        <w:gridCol w:w="923"/>
        <w:gridCol w:w="757"/>
        <w:gridCol w:w="710"/>
        <w:gridCol w:w="923"/>
        <w:gridCol w:w="765"/>
        <w:gridCol w:w="1480"/>
      </w:tblGrid>
      <w:tr w:rsidR="004F4DFE">
        <w:tc>
          <w:tcPr>
            <w:tcW w:w="1827" w:type="dxa"/>
            <w:vMerge w:val="restart"/>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Year/Program</w:t>
            </w:r>
          </w:p>
        </w:tc>
        <w:tc>
          <w:tcPr>
            <w:tcW w:w="2390" w:type="dxa"/>
            <w:gridSpan w:val="3"/>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Undergraduate</w:t>
            </w:r>
          </w:p>
        </w:tc>
        <w:tc>
          <w:tcPr>
            <w:tcW w:w="2398" w:type="dxa"/>
            <w:gridSpan w:val="3"/>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Graduate</w:t>
            </w:r>
          </w:p>
        </w:tc>
        <w:tc>
          <w:tcPr>
            <w:tcW w:w="1480" w:type="dxa"/>
            <w:vMerge w:val="restart"/>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Grand Total</w:t>
            </w:r>
          </w:p>
        </w:tc>
      </w:tr>
      <w:tr w:rsidR="004F4DFE">
        <w:tc>
          <w:tcPr>
            <w:tcW w:w="1827" w:type="dxa"/>
            <w:vMerge/>
          </w:tcPr>
          <w:p w:rsidR="004F4DFE" w:rsidRDefault="004F4DFE">
            <w:pPr>
              <w:spacing w:line="360" w:lineRule="auto"/>
              <w:rPr>
                <w:rFonts w:ascii="Times New Roman" w:hAnsi="Times New Roman" w:cs="Times New Roman"/>
                <w:sz w:val="24"/>
                <w:szCs w:val="24"/>
              </w:rPr>
            </w:pPr>
          </w:p>
        </w:tc>
        <w:tc>
          <w:tcPr>
            <w:tcW w:w="71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Male</w:t>
            </w:r>
          </w:p>
        </w:tc>
        <w:tc>
          <w:tcPr>
            <w:tcW w:w="923"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Femal</w:t>
            </w:r>
            <w:r>
              <w:rPr>
                <w:rFonts w:ascii="Times New Roman" w:hAnsi="Times New Roman" w:cs="Times New Roman"/>
                <w:sz w:val="24"/>
                <w:szCs w:val="24"/>
              </w:rPr>
              <w:t>e</w:t>
            </w:r>
          </w:p>
        </w:tc>
        <w:tc>
          <w:tcPr>
            <w:tcW w:w="757"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Total</w:t>
            </w:r>
          </w:p>
        </w:tc>
        <w:tc>
          <w:tcPr>
            <w:tcW w:w="71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Male</w:t>
            </w:r>
          </w:p>
        </w:tc>
        <w:tc>
          <w:tcPr>
            <w:tcW w:w="923"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Female</w:t>
            </w:r>
          </w:p>
        </w:tc>
        <w:tc>
          <w:tcPr>
            <w:tcW w:w="765"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 xml:space="preserve">Total </w:t>
            </w:r>
          </w:p>
        </w:tc>
        <w:tc>
          <w:tcPr>
            <w:tcW w:w="1480" w:type="dxa"/>
            <w:vMerge/>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4F4DFE">
        <w:tc>
          <w:tcPr>
            <w:tcW w:w="1827"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2020</w:t>
            </w:r>
          </w:p>
        </w:tc>
        <w:tc>
          <w:tcPr>
            <w:tcW w:w="71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79</w:t>
            </w:r>
          </w:p>
        </w:tc>
        <w:tc>
          <w:tcPr>
            <w:tcW w:w="923"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299</w:t>
            </w:r>
          </w:p>
        </w:tc>
        <w:tc>
          <w:tcPr>
            <w:tcW w:w="757"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378</w:t>
            </w:r>
          </w:p>
        </w:tc>
        <w:tc>
          <w:tcPr>
            <w:tcW w:w="71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26</w:t>
            </w:r>
          </w:p>
        </w:tc>
        <w:tc>
          <w:tcPr>
            <w:tcW w:w="923"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61</w:t>
            </w:r>
          </w:p>
        </w:tc>
        <w:tc>
          <w:tcPr>
            <w:tcW w:w="765"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87</w:t>
            </w:r>
          </w:p>
        </w:tc>
        <w:tc>
          <w:tcPr>
            <w:tcW w:w="148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465</w:t>
            </w:r>
          </w:p>
        </w:tc>
      </w:tr>
      <w:tr w:rsidR="004F4DFE">
        <w:tc>
          <w:tcPr>
            <w:tcW w:w="1827"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2021</w:t>
            </w:r>
          </w:p>
        </w:tc>
        <w:tc>
          <w:tcPr>
            <w:tcW w:w="71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89</w:t>
            </w:r>
          </w:p>
        </w:tc>
        <w:tc>
          <w:tcPr>
            <w:tcW w:w="923"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215</w:t>
            </w:r>
          </w:p>
        </w:tc>
        <w:tc>
          <w:tcPr>
            <w:tcW w:w="757"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304</w:t>
            </w:r>
          </w:p>
        </w:tc>
        <w:tc>
          <w:tcPr>
            <w:tcW w:w="71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30</w:t>
            </w:r>
          </w:p>
        </w:tc>
        <w:tc>
          <w:tcPr>
            <w:tcW w:w="923"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35</w:t>
            </w:r>
          </w:p>
        </w:tc>
        <w:tc>
          <w:tcPr>
            <w:tcW w:w="765"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65</w:t>
            </w:r>
          </w:p>
        </w:tc>
        <w:tc>
          <w:tcPr>
            <w:tcW w:w="148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369</w:t>
            </w:r>
          </w:p>
        </w:tc>
      </w:tr>
      <w:tr w:rsidR="004F4DFE">
        <w:tc>
          <w:tcPr>
            <w:tcW w:w="1827"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2022</w:t>
            </w:r>
          </w:p>
        </w:tc>
        <w:tc>
          <w:tcPr>
            <w:tcW w:w="71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61</w:t>
            </w:r>
          </w:p>
        </w:tc>
        <w:tc>
          <w:tcPr>
            <w:tcW w:w="923"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124</w:t>
            </w:r>
          </w:p>
        </w:tc>
        <w:tc>
          <w:tcPr>
            <w:tcW w:w="757"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185</w:t>
            </w:r>
          </w:p>
        </w:tc>
        <w:tc>
          <w:tcPr>
            <w:tcW w:w="71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20</w:t>
            </w:r>
          </w:p>
        </w:tc>
        <w:tc>
          <w:tcPr>
            <w:tcW w:w="923"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38</w:t>
            </w:r>
          </w:p>
        </w:tc>
        <w:tc>
          <w:tcPr>
            <w:tcW w:w="765"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58</w:t>
            </w:r>
          </w:p>
        </w:tc>
        <w:tc>
          <w:tcPr>
            <w:tcW w:w="148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243</w:t>
            </w:r>
          </w:p>
        </w:tc>
      </w:tr>
    </w:tbl>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seems fluctuation in the students enrollment in the department. The number of female students taking the admission seems </w:t>
      </w:r>
      <w:r>
        <w:rPr>
          <w:rFonts w:ascii="Times New Roman" w:hAnsi="Times New Roman" w:cs="Times New Roman"/>
          <w:sz w:val="24"/>
          <w:szCs w:val="24"/>
        </w:rPr>
        <w:t xml:space="preserve">more at all the level than that of male </w:t>
      </w:r>
      <w:proofErr w:type="spellStart"/>
      <w:r>
        <w:rPr>
          <w:rFonts w:ascii="Times New Roman" w:hAnsi="Times New Roman" w:cs="Times New Roman"/>
          <w:sz w:val="24"/>
          <w:szCs w:val="24"/>
        </w:rPr>
        <w:t>counterpart.In</w:t>
      </w:r>
      <w:proofErr w:type="spellEnd"/>
      <w:r>
        <w:rPr>
          <w:rFonts w:ascii="Times New Roman" w:hAnsi="Times New Roman" w:cs="Times New Roman"/>
          <w:sz w:val="24"/>
          <w:szCs w:val="24"/>
        </w:rPr>
        <w:t xml:space="preserve"> the year 2020 total 378 students took admission out of which the number of male students were 79 and the female were 299 at undergraduate level and at graduate level total 87 students took admission am</w:t>
      </w:r>
      <w:r>
        <w:rPr>
          <w:rFonts w:ascii="Times New Roman" w:hAnsi="Times New Roman" w:cs="Times New Roman"/>
          <w:sz w:val="24"/>
          <w:szCs w:val="24"/>
        </w:rPr>
        <w:t>ong them there were 61 female and 26 male students.  In the same way in the year 2021 total 369 students took admission out of which 304 students in undergraduate level and 65 in graduate level. If we further categorize them according to the gender we come</w:t>
      </w:r>
      <w:r>
        <w:rPr>
          <w:rFonts w:ascii="Times New Roman" w:hAnsi="Times New Roman" w:cs="Times New Roman"/>
          <w:sz w:val="24"/>
          <w:szCs w:val="24"/>
        </w:rPr>
        <w:t xml:space="preserve"> to see that 215 female students took admission in undergraduate level and 89 male students enrolled in the course. Similarly in graduate level out of 65 students there were 35 female   and 30 male students. Similarly altogether 243 students enrolled in th</w:t>
      </w:r>
      <w:r>
        <w:rPr>
          <w:rFonts w:ascii="Times New Roman" w:hAnsi="Times New Roman" w:cs="Times New Roman"/>
          <w:sz w:val="24"/>
          <w:szCs w:val="24"/>
        </w:rPr>
        <w:t xml:space="preserve">e department in the year 2022. In the undergraduate level there were 185 students out of which 61 were male and 124 were female. </w:t>
      </w:r>
      <w:r>
        <w:rPr>
          <w:rFonts w:ascii="Times New Roman" w:hAnsi="Times New Roman" w:cs="Times New Roman"/>
          <w:sz w:val="24"/>
          <w:szCs w:val="24"/>
        </w:rPr>
        <w:lastRenderedPageBreak/>
        <w:t>And in the graduate level 20 male and 38 female students took admission. The following graph presents the situation of the stud</w:t>
      </w:r>
      <w:r>
        <w:rPr>
          <w:rFonts w:ascii="Times New Roman" w:hAnsi="Times New Roman" w:cs="Times New Roman"/>
          <w:sz w:val="24"/>
          <w:szCs w:val="24"/>
        </w:rPr>
        <w:t>ents enrollment in the last three years of the department .</w:t>
      </w:r>
    </w:p>
    <w:p w:rsidR="004F4DFE" w:rsidRDefault="00D15E54">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extent cx="4596130" cy="2224405"/>
            <wp:effectExtent l="0" t="0" r="13970" b="444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9"/>
                    <a:stretch>
                      <a:fillRect/>
                    </a:stretch>
                  </pic:blipFill>
                  <pic:spPr>
                    <a:xfrm>
                      <a:off x="0" y="0"/>
                      <a:ext cx="4596130" cy="2224405"/>
                    </a:xfrm>
                    <a:prstGeom prst="rect">
                      <a:avLst/>
                    </a:prstGeom>
                    <a:noFill/>
                    <a:ln>
                      <a:noFill/>
                    </a:ln>
                  </pic:spPr>
                </pic:pic>
              </a:graphicData>
            </a:graphic>
          </wp:inline>
        </w:drawing>
      </w:r>
    </w:p>
    <w:p w:rsidR="004F4DFE" w:rsidRDefault="00D15E54">
      <w:pPr>
        <w:spacing w:line="360" w:lineRule="auto"/>
        <w:rPr>
          <w:rFonts w:ascii="Times New Roman" w:hAnsi="Times New Roman" w:cs="Times New Roman"/>
          <w:b/>
          <w:bCs/>
          <w:sz w:val="24"/>
          <w:szCs w:val="24"/>
        </w:rPr>
      </w:pPr>
      <w:r>
        <w:rPr>
          <w:rFonts w:ascii="Times New Roman" w:hAnsi="Times New Roman" w:cs="Times New Roman"/>
          <w:b/>
          <w:bCs/>
          <w:sz w:val="24"/>
          <w:szCs w:val="24"/>
        </w:rPr>
        <w:t>Infrastructural Status</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department holds two buildings used for  teaching and learning activities and a separate building with two rooms for office purpose. Overall the department has 18 rooms for classroom purpose and two computer labs and one </w:t>
      </w:r>
      <w:proofErr w:type="spellStart"/>
      <w:r>
        <w:rPr>
          <w:rFonts w:ascii="Times New Roman" w:hAnsi="Times New Roman" w:cs="Times New Roman"/>
          <w:sz w:val="24"/>
          <w:szCs w:val="24"/>
        </w:rPr>
        <w:t>Hod's</w:t>
      </w:r>
      <w:proofErr w:type="spellEnd"/>
      <w:r>
        <w:rPr>
          <w:rFonts w:ascii="Times New Roman" w:hAnsi="Times New Roman" w:cs="Times New Roman"/>
          <w:sz w:val="24"/>
          <w:szCs w:val="24"/>
        </w:rPr>
        <w:t xml:space="preserve"> chamber in total. The dep</w:t>
      </w:r>
      <w:r>
        <w:rPr>
          <w:rFonts w:ascii="Times New Roman" w:hAnsi="Times New Roman" w:cs="Times New Roman"/>
          <w:sz w:val="24"/>
          <w:szCs w:val="24"/>
        </w:rPr>
        <w:t>artment doesn’t have dedicated library for education department but we have one library which is common for all the department students consisting of thousands of textbooks and reference books. There are five toilets located at different parts of the build</w:t>
      </w:r>
      <w:r>
        <w:rPr>
          <w:rFonts w:ascii="Times New Roman" w:hAnsi="Times New Roman" w:cs="Times New Roman"/>
          <w:sz w:val="24"/>
          <w:szCs w:val="24"/>
        </w:rPr>
        <w:t xml:space="preserve">ings for students and teachers with running water facilities. The building for office consists of two rooms as account section and the administrative </w:t>
      </w:r>
      <w:proofErr w:type="spellStart"/>
      <w:r>
        <w:rPr>
          <w:rFonts w:ascii="Times New Roman" w:hAnsi="Times New Roman" w:cs="Times New Roman"/>
          <w:sz w:val="24"/>
          <w:szCs w:val="24"/>
        </w:rPr>
        <w:t>section.Students</w:t>
      </w:r>
      <w:proofErr w:type="spellEnd"/>
      <w:r>
        <w:rPr>
          <w:rFonts w:ascii="Times New Roman" w:hAnsi="Times New Roman" w:cs="Times New Roman"/>
          <w:sz w:val="24"/>
          <w:szCs w:val="24"/>
        </w:rPr>
        <w:t xml:space="preserve"> have access to fresh and  pure drinking water. There are four faucets that provide filter</w:t>
      </w:r>
      <w:r>
        <w:rPr>
          <w:rFonts w:ascii="Times New Roman" w:hAnsi="Times New Roman" w:cs="Times New Roman"/>
          <w:sz w:val="24"/>
          <w:szCs w:val="24"/>
        </w:rPr>
        <w:t xml:space="preserve">ed and cold water access to the students and the teachers. </w:t>
      </w:r>
    </w:p>
    <w:p w:rsidR="004F4DFE" w:rsidRDefault="00D15E54">
      <w:pPr>
        <w:spacing w:line="360" w:lineRule="auto"/>
        <w:rPr>
          <w:rFonts w:ascii="Times New Roman" w:hAnsi="Times New Roman" w:cs="Times New Roman"/>
          <w:b/>
          <w:bCs/>
          <w:sz w:val="24"/>
          <w:szCs w:val="24"/>
        </w:rPr>
      </w:pPr>
      <w:r>
        <w:rPr>
          <w:rFonts w:ascii="Times New Roman" w:hAnsi="Times New Roman" w:cs="Times New Roman"/>
          <w:b/>
          <w:bCs/>
          <w:sz w:val="24"/>
          <w:szCs w:val="24"/>
        </w:rPr>
        <w:t>Educational Aids</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 xml:space="preserve">All the classrooms dedicated for teaching and learning activities are fully equipped with the benches and desks which are permanently  fixed in the </w:t>
      </w:r>
      <w:proofErr w:type="spellStart"/>
      <w:r>
        <w:rPr>
          <w:rFonts w:ascii="Times New Roman" w:hAnsi="Times New Roman" w:cs="Times New Roman"/>
          <w:sz w:val="24"/>
          <w:szCs w:val="24"/>
        </w:rPr>
        <w:t>classroom.Every</w:t>
      </w:r>
      <w:proofErr w:type="spellEnd"/>
      <w:r>
        <w:rPr>
          <w:rFonts w:ascii="Times New Roman" w:hAnsi="Times New Roman" w:cs="Times New Roman"/>
          <w:sz w:val="24"/>
          <w:szCs w:val="24"/>
        </w:rPr>
        <w:t xml:space="preserve"> classroom is ha</w:t>
      </w:r>
      <w:r>
        <w:rPr>
          <w:rFonts w:ascii="Times New Roman" w:hAnsi="Times New Roman" w:cs="Times New Roman"/>
          <w:sz w:val="24"/>
          <w:szCs w:val="24"/>
        </w:rPr>
        <w:t>ving one podium for teachers use as rostrum and the whiteboard attached in each classroom.  The computer lab consists 48 computers connected with the internet. We don’t have separate operating department library for students. However, there is a library wi</w:t>
      </w:r>
      <w:r>
        <w:rPr>
          <w:rFonts w:ascii="Times New Roman" w:hAnsi="Times New Roman" w:cs="Times New Roman"/>
          <w:sz w:val="24"/>
          <w:szCs w:val="24"/>
        </w:rPr>
        <w:t xml:space="preserve">th the reference books for teachers. </w:t>
      </w:r>
    </w:p>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D15E54">
      <w:pPr>
        <w:spacing w:line="360" w:lineRule="auto"/>
        <w:rPr>
          <w:rFonts w:ascii="Times New Roman" w:hAnsi="Times New Roman" w:cs="Times New Roman"/>
          <w:b/>
          <w:bCs/>
          <w:sz w:val="24"/>
          <w:szCs w:val="24"/>
        </w:rPr>
      </w:pPr>
      <w:r>
        <w:rPr>
          <w:rFonts w:ascii="Times New Roman" w:hAnsi="Times New Roman" w:cs="Times New Roman"/>
          <w:b/>
          <w:bCs/>
          <w:sz w:val="24"/>
          <w:szCs w:val="24"/>
        </w:rPr>
        <w:t>Financial Progress</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The following table presents the total income and expenditure in the last three fiscal years.</w:t>
      </w:r>
    </w:p>
    <w:tbl>
      <w:tblPr>
        <w:tblStyle w:val="TableGrid"/>
        <w:tblpPr w:leftFromText="180" w:rightFromText="180" w:vertAnchor="text" w:horzAnchor="page" w:tblpX="2500" w:tblpY="1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1620"/>
        <w:gridCol w:w="2325"/>
        <w:gridCol w:w="2472"/>
      </w:tblGrid>
      <w:tr w:rsidR="004F4DFE">
        <w:tc>
          <w:tcPr>
            <w:tcW w:w="634"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S.N.</w:t>
            </w:r>
          </w:p>
        </w:tc>
        <w:tc>
          <w:tcPr>
            <w:tcW w:w="162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Fiscal  Year</w:t>
            </w:r>
          </w:p>
        </w:tc>
        <w:tc>
          <w:tcPr>
            <w:tcW w:w="2325"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Total Income</w:t>
            </w:r>
          </w:p>
        </w:tc>
        <w:tc>
          <w:tcPr>
            <w:tcW w:w="2472"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Total Expenditure</w:t>
            </w:r>
          </w:p>
        </w:tc>
      </w:tr>
      <w:tr w:rsidR="004F4DFE">
        <w:tc>
          <w:tcPr>
            <w:tcW w:w="634"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62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2076/077</w:t>
            </w:r>
          </w:p>
        </w:tc>
        <w:tc>
          <w:tcPr>
            <w:tcW w:w="2325"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23,610,897.00</w:t>
            </w:r>
          </w:p>
        </w:tc>
        <w:tc>
          <w:tcPr>
            <w:tcW w:w="2472"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24,000,981.00</w:t>
            </w:r>
          </w:p>
        </w:tc>
      </w:tr>
      <w:tr w:rsidR="004F4DFE">
        <w:tc>
          <w:tcPr>
            <w:tcW w:w="634"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62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2077/078</w:t>
            </w:r>
          </w:p>
        </w:tc>
        <w:tc>
          <w:tcPr>
            <w:tcW w:w="2325"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27,552,615.00</w:t>
            </w:r>
          </w:p>
        </w:tc>
        <w:tc>
          <w:tcPr>
            <w:tcW w:w="2472"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25,462,623.00</w:t>
            </w:r>
          </w:p>
        </w:tc>
      </w:tr>
      <w:tr w:rsidR="004F4DFE">
        <w:tc>
          <w:tcPr>
            <w:tcW w:w="634"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620"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2078/079</w:t>
            </w:r>
          </w:p>
        </w:tc>
        <w:tc>
          <w:tcPr>
            <w:tcW w:w="2325"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28,406,290.00</w:t>
            </w:r>
          </w:p>
        </w:tc>
        <w:tc>
          <w:tcPr>
            <w:tcW w:w="2472" w:type="dxa"/>
          </w:tcPr>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31,248,007.00</w:t>
            </w:r>
          </w:p>
        </w:tc>
      </w:tr>
    </w:tbl>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4F4DFE">
      <w:pPr>
        <w:spacing w:line="360" w:lineRule="auto"/>
        <w:rPr>
          <w:rFonts w:ascii="Times New Roman" w:hAnsi="Times New Roman" w:cs="Times New Roman"/>
          <w:sz w:val="24"/>
          <w:szCs w:val="24"/>
        </w:rPr>
      </w:pP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The table presents the total income of the three fiscal year. In the fiscal year 2076/077 the total income generated is 23,610,897.00 and the expenditure is 24,000,981.00. The incom</w:t>
      </w:r>
      <w:r>
        <w:rPr>
          <w:rFonts w:ascii="Times New Roman" w:hAnsi="Times New Roman" w:cs="Times New Roman"/>
          <w:sz w:val="24"/>
          <w:szCs w:val="24"/>
        </w:rPr>
        <w:t>e and the expenditure is in the increasing trend every year. In the fiscal year 2077/078 the income is 27,552,615.00 and the expenditure is 25,462,623.00. Similarly, in the fiscal year 2078/079 the total income is 28,406,290.00 and the expenditure is 31,24</w:t>
      </w:r>
      <w:r>
        <w:rPr>
          <w:rFonts w:ascii="Times New Roman" w:hAnsi="Times New Roman" w:cs="Times New Roman"/>
          <w:sz w:val="24"/>
          <w:szCs w:val="24"/>
        </w:rPr>
        <w:t xml:space="preserve">8,007.00. The trend in income and expenditure is in increasing level. </w:t>
      </w:r>
    </w:p>
    <w:p w:rsidR="004F4DFE" w:rsidRDefault="00D15E54">
      <w:pPr>
        <w:spacing w:line="360" w:lineRule="auto"/>
        <w:rPr>
          <w:rFonts w:ascii="Times New Roman" w:hAnsi="Times New Roman" w:cs="Times New Roman"/>
          <w:sz w:val="24"/>
          <w:szCs w:val="24"/>
        </w:rPr>
      </w:pPr>
      <w:r>
        <w:rPr>
          <w:rFonts w:ascii="Times New Roman" w:hAnsi="Times New Roman" w:cs="Times New Roman"/>
          <w:sz w:val="24"/>
          <w:szCs w:val="24"/>
        </w:rPr>
        <w:t>The major source of income of the department is students fees and the support from the university. In the year 2078/079 total 24.79% of the income is generated from the student fee and the remaining 75.81% of the income is received from the university.</w:t>
      </w:r>
      <w:r w:rsidR="002754BD">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 xml:space="preserve">The </w:t>
      </w:r>
      <w:r w:rsidR="002754BD">
        <w:rPr>
          <w:rFonts w:ascii="Times New Roman" w:hAnsi="Times New Roman" w:cs="Times New Roman"/>
          <w:sz w:val="24"/>
          <w:szCs w:val="24"/>
        </w:rPr>
        <w:t>lion's</w:t>
      </w:r>
      <w:r>
        <w:rPr>
          <w:rFonts w:ascii="Times New Roman" w:hAnsi="Times New Roman" w:cs="Times New Roman"/>
          <w:sz w:val="24"/>
          <w:szCs w:val="24"/>
        </w:rPr>
        <w:t xml:space="preserve"> share of the budget is spent upon the salary of the teachers and the staff. In the year 2078/079 total 86.76% of the expenditure is spent upon the salary. Similarly, 8.17% of the budget is spent upon the operational title of the budget. The departmen</w:t>
      </w:r>
      <w:r>
        <w:rPr>
          <w:rFonts w:ascii="Times New Roman" w:hAnsi="Times New Roman" w:cs="Times New Roman"/>
          <w:sz w:val="24"/>
          <w:szCs w:val="24"/>
        </w:rPr>
        <w:t xml:space="preserve">t spent pity amount  in the research and publication i.e.0.04 % of the budget and in capital expenditure 5.02 % of the budget.   </w:t>
      </w:r>
    </w:p>
    <w:sectPr w:rsidR="004F4D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E54" w:rsidRDefault="00D15E54">
      <w:pPr>
        <w:spacing w:line="240" w:lineRule="auto"/>
      </w:pPr>
      <w:r>
        <w:separator/>
      </w:r>
    </w:p>
  </w:endnote>
  <w:endnote w:type="continuationSeparator" w:id="0">
    <w:p w:rsidR="00D15E54" w:rsidRDefault="00D15E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E54" w:rsidRDefault="00D15E54">
      <w:pPr>
        <w:spacing w:after="0"/>
      </w:pPr>
      <w:r>
        <w:separator/>
      </w:r>
    </w:p>
  </w:footnote>
  <w:footnote w:type="continuationSeparator" w:id="0">
    <w:p w:rsidR="00D15E54" w:rsidRDefault="00D15E5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F2C35"/>
    <w:rsid w:val="002754BD"/>
    <w:rsid w:val="00491F51"/>
    <w:rsid w:val="004F4DFE"/>
    <w:rsid w:val="00702CFD"/>
    <w:rsid w:val="008837B2"/>
    <w:rsid w:val="00912D69"/>
    <w:rsid w:val="00A264F6"/>
    <w:rsid w:val="00A540DD"/>
    <w:rsid w:val="00AF55BD"/>
    <w:rsid w:val="00D15E54"/>
    <w:rsid w:val="00D62F7D"/>
    <w:rsid w:val="00E16473"/>
    <w:rsid w:val="00EF2C35"/>
    <w:rsid w:val="00F53A95"/>
    <w:rsid w:val="33ED4A56"/>
    <w:rsid w:val="3A5F6FFD"/>
    <w:rsid w:val="3CEC5608"/>
    <w:rsid w:val="6A730D79"/>
    <w:rsid w:val="6CAC03BA"/>
    <w:rsid w:val="6D381810"/>
    <w:rsid w:val="74341384"/>
    <w:rsid w:val="76CB11DA"/>
    <w:rsid w:val="775B5A74"/>
  </w:rsids>
  <m:mathPr>
    <m:mathFont m:val="Cambria Math"/>
    <m:brkBin m:val="before"/>
    <m:brkBinSub m:val="--"/>
    <m:smallFrac/>
    <m:dispDef/>
    <m:lMargin m:val="0"/>
    <m:rMargin m:val="0"/>
    <m:defJc m:val="centerGroup"/>
    <m:wrapIndent m:val="1440"/>
    <m:intLim m:val="subSup"/>
    <m:naryLim m:val="undOvr"/>
  </m:mathPr>
  <w:themeFontLang w:val="en-US" w:eastAsia="zh-CN"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ne-NP"/>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4"/>
    </w:rPr>
  </w:style>
  <w:style w:type="table" w:styleId="TableGrid">
    <w:name w:val="Table Grid"/>
    <w:basedOn w:val="TableNormal"/>
    <w:uiPriority w:val="5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alloonTextChar">
    <w:name w:val="Balloon Text Char"/>
    <w:basedOn w:val="DefaultParagraphFont"/>
    <w:link w:val="BalloonText"/>
    <w:uiPriority w:val="99"/>
    <w:semiHidden/>
    <w:qFormat/>
    <w:rPr>
      <w:rFonts w:ascii="Tahoma" w:hAnsi="Tahoma" w:cs="Tahoma"/>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c:f>
              <c:strCache>
                <c:ptCount val="1"/>
                <c:pt idx="0">
                  <c:v>English</c:v>
                </c:pt>
              </c:strCache>
            </c:strRef>
          </c:tx>
          <c:invertIfNegative val="0"/>
          <c:cat>
            <c:strRef>
              <c:f>Sheet1!$B$1:$D$1</c:f>
              <c:strCache>
                <c:ptCount val="2"/>
                <c:pt idx="0">
                  <c:v>undergraduate</c:v>
                </c:pt>
                <c:pt idx="1">
                  <c:v>Graduate </c:v>
                </c:pt>
              </c:strCache>
            </c:strRef>
          </c:cat>
          <c:val>
            <c:numRef>
              <c:f>Sheet1!$B$2:$D$2</c:f>
              <c:numCache>
                <c:formatCode>General</c:formatCode>
                <c:ptCount val="3"/>
                <c:pt idx="0">
                  <c:v>163</c:v>
                </c:pt>
                <c:pt idx="1">
                  <c:v>29</c:v>
                </c:pt>
              </c:numCache>
            </c:numRef>
          </c:val>
        </c:ser>
        <c:ser>
          <c:idx val="1"/>
          <c:order val="1"/>
          <c:tx>
            <c:strRef>
              <c:f>Sheet1!$A$3</c:f>
              <c:strCache>
                <c:ptCount val="1"/>
                <c:pt idx="0">
                  <c:v>Nepali </c:v>
                </c:pt>
              </c:strCache>
            </c:strRef>
          </c:tx>
          <c:invertIfNegative val="0"/>
          <c:cat>
            <c:strRef>
              <c:f>Sheet1!$B$1:$D$1</c:f>
              <c:strCache>
                <c:ptCount val="2"/>
                <c:pt idx="0">
                  <c:v>undergraduate</c:v>
                </c:pt>
                <c:pt idx="1">
                  <c:v>Graduate </c:v>
                </c:pt>
              </c:strCache>
            </c:strRef>
          </c:cat>
          <c:val>
            <c:numRef>
              <c:f>Sheet1!$B$3:$D$3</c:f>
              <c:numCache>
                <c:formatCode>General</c:formatCode>
                <c:ptCount val="3"/>
                <c:pt idx="0">
                  <c:v>243</c:v>
                </c:pt>
                <c:pt idx="1">
                  <c:v>36</c:v>
                </c:pt>
              </c:numCache>
            </c:numRef>
          </c:val>
        </c:ser>
        <c:ser>
          <c:idx val="2"/>
          <c:order val="2"/>
          <c:tx>
            <c:strRef>
              <c:f>Sheet1!$A$4</c:f>
              <c:strCache>
                <c:ptCount val="1"/>
                <c:pt idx="0">
                  <c:v>Health</c:v>
                </c:pt>
              </c:strCache>
            </c:strRef>
          </c:tx>
          <c:invertIfNegative val="0"/>
          <c:cat>
            <c:strRef>
              <c:f>Sheet1!$B$1:$D$1</c:f>
              <c:strCache>
                <c:ptCount val="2"/>
                <c:pt idx="0">
                  <c:v>undergraduate</c:v>
                </c:pt>
                <c:pt idx="1">
                  <c:v>Graduate </c:v>
                </c:pt>
              </c:strCache>
            </c:strRef>
          </c:cat>
          <c:val>
            <c:numRef>
              <c:f>Sheet1!$B$4:$D$4</c:f>
              <c:numCache>
                <c:formatCode>General</c:formatCode>
                <c:ptCount val="3"/>
                <c:pt idx="0">
                  <c:v>406</c:v>
                </c:pt>
                <c:pt idx="1">
                  <c:v>13</c:v>
                </c:pt>
              </c:numCache>
            </c:numRef>
          </c:val>
        </c:ser>
        <c:ser>
          <c:idx val="3"/>
          <c:order val="3"/>
          <c:tx>
            <c:strRef>
              <c:f>Sheet1!$A$5</c:f>
              <c:strCache>
                <c:ptCount val="1"/>
                <c:pt idx="0">
                  <c:v>Mathematics</c:v>
                </c:pt>
              </c:strCache>
            </c:strRef>
          </c:tx>
          <c:invertIfNegative val="0"/>
          <c:cat>
            <c:strRef>
              <c:f>Sheet1!$B$1:$D$1</c:f>
              <c:strCache>
                <c:ptCount val="2"/>
                <c:pt idx="0">
                  <c:v>undergraduate</c:v>
                </c:pt>
                <c:pt idx="1">
                  <c:v>Graduate </c:v>
                </c:pt>
              </c:strCache>
            </c:strRef>
          </c:cat>
          <c:val>
            <c:numRef>
              <c:f>Sheet1!$B$5:$D$5</c:f>
              <c:numCache>
                <c:formatCode>General</c:formatCode>
                <c:ptCount val="3"/>
                <c:pt idx="0">
                  <c:v>46</c:v>
                </c:pt>
                <c:pt idx="1">
                  <c:v>14</c:v>
                </c:pt>
              </c:numCache>
            </c:numRef>
          </c:val>
        </c:ser>
        <c:ser>
          <c:idx val="4"/>
          <c:order val="4"/>
          <c:tx>
            <c:strRef>
              <c:f>Sheet1!$A$6</c:f>
              <c:strCache>
                <c:ptCount val="1"/>
                <c:pt idx="0">
                  <c:v>SNE</c:v>
                </c:pt>
              </c:strCache>
            </c:strRef>
          </c:tx>
          <c:invertIfNegative val="0"/>
          <c:cat>
            <c:strRef>
              <c:f>Sheet1!$B$1:$D$1</c:f>
              <c:strCache>
                <c:ptCount val="2"/>
                <c:pt idx="0">
                  <c:v>undergraduate</c:v>
                </c:pt>
                <c:pt idx="1">
                  <c:v>Graduate </c:v>
                </c:pt>
              </c:strCache>
            </c:strRef>
          </c:cat>
          <c:val>
            <c:numRef>
              <c:f>Sheet1!$B$6:$D$6</c:f>
              <c:numCache>
                <c:formatCode>General</c:formatCode>
                <c:ptCount val="3"/>
                <c:pt idx="1">
                  <c:v>11</c:v>
                </c:pt>
              </c:numCache>
            </c:numRef>
          </c:val>
        </c:ser>
        <c:ser>
          <c:idx val="5"/>
          <c:order val="5"/>
          <c:tx>
            <c:strRef>
              <c:f>Sheet1!$A$7</c:f>
              <c:strCache>
                <c:ptCount val="1"/>
                <c:pt idx="0">
                  <c:v>CSIT</c:v>
                </c:pt>
              </c:strCache>
            </c:strRef>
          </c:tx>
          <c:invertIfNegative val="0"/>
          <c:cat>
            <c:strRef>
              <c:f>Sheet1!$B$1:$D$1</c:f>
              <c:strCache>
                <c:ptCount val="2"/>
                <c:pt idx="0">
                  <c:v>undergraduate</c:v>
                </c:pt>
                <c:pt idx="1">
                  <c:v>Graduate </c:v>
                </c:pt>
              </c:strCache>
            </c:strRef>
          </c:cat>
          <c:val>
            <c:numRef>
              <c:f>Sheet1!$B$7:$D$7</c:f>
              <c:numCache>
                <c:formatCode>General</c:formatCode>
                <c:ptCount val="3"/>
                <c:pt idx="0">
                  <c:v>192</c:v>
                </c:pt>
              </c:numCache>
            </c:numRef>
          </c:val>
        </c:ser>
        <c:dLbls>
          <c:showLegendKey val="0"/>
          <c:showVal val="0"/>
          <c:showCatName val="0"/>
          <c:showSerName val="0"/>
          <c:showPercent val="0"/>
          <c:showBubbleSize val="0"/>
        </c:dLbls>
        <c:gapWidth val="150"/>
        <c:axId val="244177152"/>
        <c:axId val="252313600"/>
      </c:barChart>
      <c:catAx>
        <c:axId val="244177152"/>
        <c:scaling>
          <c:orientation val="minMax"/>
        </c:scaling>
        <c:delete val="0"/>
        <c:axPos val="b"/>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252313600"/>
        <c:crosses val="autoZero"/>
        <c:auto val="1"/>
        <c:lblAlgn val="ctr"/>
        <c:lblOffset val="100"/>
        <c:noMultiLvlLbl val="0"/>
      </c:catAx>
      <c:valAx>
        <c:axId val="252313600"/>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244177152"/>
        <c:crosses val="autoZero"/>
        <c:crossBetween val="between"/>
      </c:valAx>
    </c:plotArea>
    <c:legend>
      <c:legendPos val="r"/>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legend>
    <c:plotVisOnly val="1"/>
    <c:dispBlanksAs val="gap"/>
    <c:showDLblsOverMax val="0"/>
  </c:chart>
  <c:txPr>
    <a:bodyPr/>
    <a:lstStyle/>
    <a:p>
      <a:pPr>
        <a:defRPr lang="en-US"/>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undergraduate</c:v>
                </c:pt>
              </c:strCache>
            </c:strRef>
          </c:tx>
          <c:invertIfNegative val="0"/>
          <c:cat>
            <c:strRef>
              <c:f>Sheet1!$A$2:$A$7</c:f>
              <c:strCache>
                <c:ptCount val="6"/>
                <c:pt idx="0">
                  <c:v>English</c:v>
                </c:pt>
                <c:pt idx="1">
                  <c:v>Nepali </c:v>
                </c:pt>
                <c:pt idx="2">
                  <c:v>Health</c:v>
                </c:pt>
                <c:pt idx="3">
                  <c:v>Mathematics</c:v>
                </c:pt>
                <c:pt idx="4">
                  <c:v>SNE</c:v>
                </c:pt>
                <c:pt idx="5">
                  <c:v>CSIT</c:v>
                </c:pt>
              </c:strCache>
            </c:strRef>
          </c:cat>
          <c:val>
            <c:numRef>
              <c:f>Sheet1!$B$2:$B$7</c:f>
              <c:numCache>
                <c:formatCode>General</c:formatCode>
                <c:ptCount val="6"/>
                <c:pt idx="0">
                  <c:v>163</c:v>
                </c:pt>
                <c:pt idx="1">
                  <c:v>243</c:v>
                </c:pt>
                <c:pt idx="2">
                  <c:v>406</c:v>
                </c:pt>
                <c:pt idx="3">
                  <c:v>46</c:v>
                </c:pt>
                <c:pt idx="5">
                  <c:v>192</c:v>
                </c:pt>
              </c:numCache>
            </c:numRef>
          </c:val>
        </c:ser>
        <c:ser>
          <c:idx val="1"/>
          <c:order val="1"/>
          <c:tx>
            <c:strRef>
              <c:f>Sheet1!$C$1</c:f>
              <c:strCache>
                <c:ptCount val="1"/>
                <c:pt idx="0">
                  <c:v>Graduate </c:v>
                </c:pt>
              </c:strCache>
            </c:strRef>
          </c:tx>
          <c:invertIfNegative val="0"/>
          <c:cat>
            <c:strRef>
              <c:f>Sheet1!$A$2:$A$7</c:f>
              <c:strCache>
                <c:ptCount val="6"/>
                <c:pt idx="0">
                  <c:v>English</c:v>
                </c:pt>
                <c:pt idx="1">
                  <c:v>Nepali </c:v>
                </c:pt>
                <c:pt idx="2">
                  <c:v>Health</c:v>
                </c:pt>
                <c:pt idx="3">
                  <c:v>Mathematics</c:v>
                </c:pt>
                <c:pt idx="4">
                  <c:v>SNE</c:v>
                </c:pt>
                <c:pt idx="5">
                  <c:v>CSIT</c:v>
                </c:pt>
              </c:strCache>
            </c:strRef>
          </c:cat>
          <c:val>
            <c:numRef>
              <c:f>Sheet1!$C$2:$C$7</c:f>
              <c:numCache>
                <c:formatCode>General</c:formatCode>
                <c:ptCount val="6"/>
                <c:pt idx="0">
                  <c:v>29</c:v>
                </c:pt>
                <c:pt idx="1">
                  <c:v>36</c:v>
                </c:pt>
                <c:pt idx="2">
                  <c:v>13</c:v>
                </c:pt>
                <c:pt idx="3">
                  <c:v>14</c:v>
                </c:pt>
                <c:pt idx="4">
                  <c:v>11</c:v>
                </c:pt>
              </c:numCache>
            </c:numRef>
          </c:val>
        </c:ser>
        <c:ser>
          <c:idx val="2"/>
          <c:order val="2"/>
          <c:tx>
            <c:strRef>
              <c:f>Sheet1!$D$1</c:f>
              <c:strCache>
                <c:ptCount val="1"/>
              </c:strCache>
            </c:strRef>
          </c:tx>
          <c:invertIfNegative val="0"/>
          <c:cat>
            <c:strRef>
              <c:f>Sheet1!$A$2:$A$7</c:f>
              <c:strCache>
                <c:ptCount val="6"/>
                <c:pt idx="0">
                  <c:v>English</c:v>
                </c:pt>
                <c:pt idx="1">
                  <c:v>Nepali </c:v>
                </c:pt>
                <c:pt idx="2">
                  <c:v>Health</c:v>
                </c:pt>
                <c:pt idx="3">
                  <c:v>Mathematics</c:v>
                </c:pt>
                <c:pt idx="4">
                  <c:v>SNE</c:v>
                </c:pt>
                <c:pt idx="5">
                  <c:v>CSIT</c:v>
                </c:pt>
              </c:strCache>
            </c:strRef>
          </c:cat>
          <c:val>
            <c:numRef>
              <c:f>Sheet1!$D$2:$D$7</c:f>
              <c:numCache>
                <c:formatCode>General</c:formatCode>
                <c:ptCount val="6"/>
              </c:numCache>
            </c:numRef>
          </c:val>
        </c:ser>
        <c:dLbls>
          <c:showLegendKey val="0"/>
          <c:showVal val="0"/>
          <c:showCatName val="0"/>
          <c:showSerName val="0"/>
          <c:showPercent val="0"/>
          <c:showBubbleSize val="0"/>
        </c:dLbls>
        <c:gapWidth val="150"/>
        <c:axId val="252331136"/>
        <c:axId val="252332672"/>
      </c:barChart>
      <c:catAx>
        <c:axId val="252331136"/>
        <c:scaling>
          <c:orientation val="minMax"/>
        </c:scaling>
        <c:delete val="0"/>
        <c:axPos val="b"/>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252332672"/>
        <c:crosses val="autoZero"/>
        <c:auto val="1"/>
        <c:lblAlgn val="ctr"/>
        <c:lblOffset val="100"/>
        <c:noMultiLvlLbl val="0"/>
      </c:catAx>
      <c:valAx>
        <c:axId val="252332672"/>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252331136"/>
        <c:crosses val="autoZero"/>
        <c:crossBetween val="between"/>
      </c:valAx>
    </c:plotArea>
    <c:legend>
      <c:legendPos val="r"/>
      <c:legendEntry>
        <c:idx val="2"/>
        <c:delete val="1"/>
      </c:legendEntry>
      <c:layout>
        <c:manualLayout>
          <c:xMode val="edge"/>
          <c:yMode val="edge"/>
          <c:x val="0.76718197725284398"/>
          <c:y val="0.37442403032954202"/>
          <c:w val="0.21615135608048999"/>
          <c:h val="0.20022564887722399"/>
        </c:manualLayout>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legend>
    <c:plotVisOnly val="1"/>
    <c:dispBlanksAs val="gap"/>
    <c:showDLblsOverMax val="0"/>
  </c:chart>
  <c:txPr>
    <a:bodyPr/>
    <a:lstStyle/>
    <a:p>
      <a:pPr>
        <a:defRPr lang="en-US"/>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1410</Words>
  <Characters>8042</Characters>
  <Application>Microsoft Office Word</Application>
  <DocSecurity>0</DocSecurity>
  <Lines>67</Lines>
  <Paragraphs>18</Paragraphs>
  <ScaleCrop>false</ScaleCrop>
  <Company>HP</Company>
  <LinksUpToDate>false</LinksUpToDate>
  <CharactersWithSpaces>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UTS</dc:creator>
  <cp:lastModifiedBy>UTS</cp:lastModifiedBy>
  <cp:revision>3</cp:revision>
  <dcterms:created xsi:type="dcterms:W3CDTF">2023-04-01T02:29:00Z</dcterms:created>
  <dcterms:modified xsi:type="dcterms:W3CDTF">2025-06-08T03:21:00Z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1033-11.2.0.11516</vt:lpwstr>
  </property>
  <property fmtid="{D5CDD505-2E9C-101B-9397-08002B2CF9AE}" pid="3" name="ICV">
    <vt:lpwstr>56A828BFDCC14F94926A43506133331D</vt:lpwstr>
  </property>
</Properties>
</file>